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0"/>
      </w:pPr>
      <w:r>
        <w:rPr>
          <w:spacing w:val="-2"/>
        </w:rPr>
        <w:t>ENEDIS</w:t>
      </w:r>
    </w:p>
    <w:p>
      <w:pPr>
        <w:pStyle w:val="Title"/>
      </w:pPr>
      <w:r>
        <w:rPr/>
        <w:t>A</w:t>
      </w:r>
      <w:r>
        <w:rPr>
          <w:spacing w:val="-5"/>
        </w:rPr>
        <w:t> </w:t>
      </w:r>
      <w:r>
        <w:rPr/>
        <w:t>l’attention</w:t>
      </w:r>
      <w:r>
        <w:rPr>
          <w:spacing w:val="-5"/>
        </w:rPr>
        <w:t> </w:t>
      </w:r>
      <w:r>
        <w:rPr/>
        <w:t>de</w:t>
      </w:r>
      <w:r>
        <w:rPr>
          <w:spacing w:val="-6"/>
        </w:rPr>
        <w:t> </w:t>
      </w:r>
      <w:r>
        <w:rPr/>
        <w:t>la</w:t>
      </w:r>
      <w:r>
        <w:rPr>
          <w:spacing w:val="-3"/>
        </w:rPr>
        <w:t> </w:t>
      </w:r>
      <w:r>
        <w:rPr/>
        <w:t>Direction</w:t>
      </w:r>
      <w:r>
        <w:rPr>
          <w:spacing w:val="-3"/>
        </w:rPr>
        <w:t> </w:t>
      </w:r>
      <w:r>
        <w:rPr>
          <w:spacing w:val="-2"/>
        </w:rPr>
        <w:t>Régionale</w:t>
      </w:r>
    </w:p>
    <w:p>
      <w:pPr>
        <w:pStyle w:val="BodyText"/>
        <w:rPr>
          <w:b/>
          <w:sz w:val="20"/>
        </w:rPr>
      </w:pPr>
    </w:p>
    <w:p>
      <w:pPr>
        <w:pStyle w:val="BodyText"/>
        <w:rPr>
          <w:b/>
          <w:sz w:val="20"/>
        </w:rPr>
      </w:pPr>
    </w:p>
    <w:p>
      <w:pPr>
        <w:pStyle w:val="BodyText"/>
        <w:spacing w:before="8"/>
        <w:rPr>
          <w:b/>
          <w:sz w:val="17"/>
        </w:rPr>
      </w:pPr>
    </w:p>
    <w:p>
      <w:pPr>
        <w:pStyle w:val="BodyText"/>
        <w:spacing w:line="252" w:lineRule="exact" w:before="92"/>
        <w:ind w:left="116"/>
      </w:pPr>
      <w:r>
        <w:rPr>
          <w:spacing w:val="-2"/>
          <w:u w:val="single"/>
        </w:rPr>
        <w:t>URGENT</w:t>
      </w:r>
    </w:p>
    <w:p>
      <w:pPr>
        <w:pStyle w:val="BodyText"/>
        <w:spacing w:line="252" w:lineRule="exact"/>
        <w:ind w:left="116"/>
      </w:pPr>
      <w:r>
        <w:rPr/>
        <w:t>Par</w:t>
      </w:r>
      <w:r>
        <w:rPr>
          <w:spacing w:val="-4"/>
        </w:rPr>
        <w:t> </w:t>
      </w:r>
      <w:r>
        <w:rPr/>
        <w:t>lettre</w:t>
      </w:r>
      <w:r>
        <w:rPr>
          <w:spacing w:val="-4"/>
        </w:rPr>
        <w:t> </w:t>
      </w:r>
      <w:r>
        <w:rPr/>
        <w:t>recommandée</w:t>
      </w:r>
      <w:r>
        <w:rPr>
          <w:spacing w:val="-4"/>
        </w:rPr>
        <w:t> </w:t>
      </w:r>
      <w:r>
        <w:rPr/>
        <w:t>avec</w:t>
      </w:r>
      <w:r>
        <w:rPr>
          <w:spacing w:val="-4"/>
        </w:rPr>
        <w:t> </w:t>
      </w:r>
      <w:r>
        <w:rPr>
          <w:spacing w:val="-5"/>
        </w:rPr>
        <w:t>AR</w:t>
      </w:r>
    </w:p>
    <w:p>
      <w:pPr>
        <w:pStyle w:val="BodyText"/>
        <w:rPr>
          <w:sz w:val="24"/>
        </w:rPr>
      </w:pPr>
    </w:p>
    <w:p>
      <w:pPr>
        <w:pStyle w:val="BodyText"/>
        <w:rPr>
          <w:sz w:val="24"/>
        </w:rPr>
      </w:pPr>
    </w:p>
    <w:p>
      <w:pPr>
        <w:pStyle w:val="BodyText"/>
        <w:spacing w:before="208"/>
        <w:ind w:left="116"/>
      </w:pPr>
      <w:r>
        <w:rPr>
          <w:u w:val="single"/>
        </w:rPr>
        <w:t>Objet</w:t>
      </w:r>
      <w:r>
        <w:rPr/>
        <w:t>:</w:t>
      </w:r>
      <w:r>
        <w:rPr>
          <w:spacing w:val="63"/>
          <w:w w:val="150"/>
        </w:rPr>
        <w:t> </w:t>
      </w:r>
      <w:r>
        <w:rPr/>
        <w:t>Contrat</w:t>
      </w:r>
      <w:r>
        <w:rPr>
          <w:spacing w:val="-3"/>
        </w:rPr>
        <w:t> </w:t>
      </w:r>
      <w:r>
        <w:rPr/>
        <w:t>de</w:t>
      </w:r>
      <w:r>
        <w:rPr>
          <w:spacing w:val="-4"/>
        </w:rPr>
        <w:t> </w:t>
      </w:r>
      <w:r>
        <w:rPr/>
        <w:t>raccordement</w:t>
      </w:r>
      <w:r>
        <w:rPr>
          <w:spacing w:val="-2"/>
        </w:rPr>
        <w:t> </w:t>
      </w:r>
      <w:r>
        <w:rPr/>
        <w:t>électrique</w:t>
      </w:r>
      <w:r>
        <w:rPr>
          <w:spacing w:val="-4"/>
        </w:rPr>
        <w:t> </w:t>
      </w:r>
      <w:r>
        <w:rPr>
          <w:spacing w:val="-2"/>
        </w:rPr>
        <w:t>provisoire</w:t>
      </w:r>
    </w:p>
    <w:p>
      <w:pPr>
        <w:pStyle w:val="BodyText"/>
        <w:rPr>
          <w:sz w:val="20"/>
        </w:rPr>
      </w:pPr>
    </w:p>
    <w:p>
      <w:pPr>
        <w:pStyle w:val="BodyText"/>
        <w:rPr>
          <w:sz w:val="20"/>
        </w:rPr>
      </w:pPr>
    </w:p>
    <w:p>
      <w:pPr>
        <w:pStyle w:val="BodyText"/>
        <w:spacing w:before="1"/>
        <w:rPr>
          <w:sz w:val="18"/>
        </w:rPr>
      </w:pPr>
    </w:p>
    <w:p>
      <w:pPr>
        <w:spacing w:line="253" w:lineRule="exact" w:before="92"/>
        <w:ind w:left="5072" w:right="0" w:firstLine="0"/>
        <w:jc w:val="left"/>
        <w:rPr>
          <w:sz w:val="22"/>
        </w:rPr>
      </w:pPr>
      <w:r>
        <w:rPr>
          <w:b/>
          <w:sz w:val="22"/>
        </w:rPr>
        <w:t>xxxxxxxxxxx</w:t>
      </w:r>
      <w:r>
        <w:rPr>
          <w:sz w:val="22"/>
        </w:rPr>
        <w:t>,</w:t>
      </w:r>
      <w:r>
        <w:rPr>
          <w:spacing w:val="-4"/>
          <w:sz w:val="22"/>
        </w:rPr>
        <w:t> </w:t>
      </w:r>
      <w:r>
        <w:rPr>
          <w:sz w:val="22"/>
        </w:rPr>
        <w:t>le</w:t>
      </w:r>
      <w:r>
        <w:rPr>
          <w:spacing w:val="-4"/>
          <w:sz w:val="22"/>
        </w:rPr>
        <w:t> </w:t>
      </w:r>
      <w:r>
        <w:rPr>
          <w:spacing w:val="-2"/>
          <w:sz w:val="22"/>
        </w:rPr>
        <w:t>xxxxxxxxxxxx</w:t>
      </w:r>
    </w:p>
    <w:p>
      <w:pPr>
        <w:pStyle w:val="BodyText"/>
        <w:ind w:left="116"/>
      </w:pPr>
      <w:r>
        <w:rPr/>
        <w:t>Madame,</w:t>
      </w:r>
      <w:r>
        <w:rPr>
          <w:spacing w:val="-4"/>
        </w:rPr>
        <w:t> </w:t>
      </w:r>
      <w:r>
        <w:rPr>
          <w:spacing w:val="-2"/>
        </w:rPr>
        <w:t>Monsieur,</w:t>
      </w:r>
    </w:p>
    <w:p>
      <w:pPr>
        <w:pStyle w:val="BodyText"/>
        <w:spacing w:before="126"/>
        <w:ind w:left="116" w:right="114"/>
        <w:jc w:val="both"/>
      </w:pPr>
      <w:r>
        <w:rPr/>
        <w:t>Propriétaire d’un terrain situé xxxxxxxxxxxxx, j’ai sollicité récemment par lettre / téléphone, comme</w:t>
      </w:r>
      <w:r>
        <w:rPr>
          <w:spacing w:val="40"/>
        </w:rPr>
        <w:t> </w:t>
      </w:r>
      <w:r>
        <w:rPr/>
        <w:t>le prévoit votre procédure, vos services pour bénéficier d’un contrat d’abonnement électrique provisoire afin de raccorder ce terrain au réseau.</w:t>
      </w:r>
    </w:p>
    <w:p>
      <w:pPr>
        <w:pStyle w:val="BodyText"/>
      </w:pPr>
    </w:p>
    <w:p>
      <w:pPr>
        <w:pStyle w:val="BodyText"/>
        <w:spacing w:before="1"/>
        <w:ind w:left="116" w:right="115"/>
        <w:jc w:val="both"/>
      </w:pPr>
      <w:r>
        <w:rPr/>
        <w:t>Or, vos services me refusent de manière incompréhensible et injustifiée l’accès à l’électricité qui est pourtant</w:t>
      </w:r>
      <w:r>
        <w:rPr>
          <w:spacing w:val="-1"/>
        </w:rPr>
        <w:t> </w:t>
      </w:r>
      <w:r>
        <w:rPr/>
        <w:t>un droit fondamental </w:t>
      </w:r>
      <w:r>
        <w:rPr>
          <w:i/>
        </w:rPr>
        <w:t>(art. L121-1 du Code de</w:t>
      </w:r>
      <w:r>
        <w:rPr>
          <w:i/>
          <w:spacing w:val="-2"/>
        </w:rPr>
        <w:t> </w:t>
      </w:r>
      <w:r>
        <w:rPr>
          <w:i/>
        </w:rPr>
        <w:t>l’énergie)</w:t>
      </w:r>
      <w:r>
        <w:rPr>
          <w:i/>
          <w:spacing w:val="-1"/>
        </w:rPr>
        <w:t> </w:t>
      </w:r>
      <w:r>
        <w:rPr/>
        <w:t>auquel</w:t>
      </w:r>
      <w:r>
        <w:rPr>
          <w:spacing w:val="-1"/>
        </w:rPr>
        <w:t> </w:t>
      </w:r>
      <w:r>
        <w:rPr/>
        <w:t>tout citoyen, quel qu’il soit</w:t>
      </w:r>
      <w:r>
        <w:rPr>
          <w:spacing w:val="-1"/>
        </w:rPr>
        <w:t> </w:t>
      </w:r>
      <w:r>
        <w:rPr/>
        <w:t>et d’où qu’il vienne, peut prétendre indépendamment des règles d’urbanisme et d’utilisation des sols.</w:t>
      </w:r>
    </w:p>
    <w:p>
      <w:pPr>
        <w:pStyle w:val="BodyText"/>
        <w:spacing w:before="9"/>
        <w:rPr>
          <w:sz w:val="21"/>
        </w:rPr>
      </w:pPr>
    </w:p>
    <w:p>
      <w:pPr>
        <w:pStyle w:val="BodyText"/>
        <w:spacing w:before="1"/>
        <w:ind w:left="116" w:right="112"/>
        <w:jc w:val="both"/>
      </w:pPr>
      <w:r>
        <w:rPr/>
        <w:t>Cette attitude, ainsi que l’ont admis de nombreux tribunaux, est constitutive d’un trouble manifestement illicite auquel vous devez mettre un terme dans les plus brefs délais. En effet, ni la loi, ni aucune disposition réglementaire n’autorise votre structure à refuser l’accès au réseau électrique à des citoyens qui en font la demande ou à se positionner en gestionnaire des règles d’urbanisme.</w:t>
      </w:r>
    </w:p>
    <w:p>
      <w:pPr>
        <w:pStyle w:val="BodyText"/>
        <w:spacing w:before="11"/>
        <w:rPr>
          <w:sz w:val="21"/>
        </w:rPr>
      </w:pPr>
    </w:p>
    <w:p>
      <w:pPr>
        <w:spacing w:before="0"/>
        <w:ind w:left="116" w:right="112" w:firstLine="0"/>
        <w:jc w:val="both"/>
        <w:rPr>
          <w:i/>
          <w:sz w:val="22"/>
        </w:rPr>
      </w:pPr>
      <w:r>
        <w:rPr>
          <w:sz w:val="22"/>
        </w:rPr>
        <w:t>Je me permets de vous rappeler que le Maire ne peut se prévaloir de l’article L111-12 du Code de l’Urbanisme ou de ses pouvoirs de police pour s’opposer à un quelconque raccordement électrique provisoire </w:t>
      </w:r>
      <w:r>
        <w:rPr>
          <w:i/>
          <w:sz w:val="22"/>
        </w:rPr>
        <w:t>(Réponse Ministérielle J.O. Sénat 26/05/2009 et 30/10/2008)</w:t>
      </w:r>
      <w:r>
        <w:rPr>
          <w:sz w:val="22"/>
        </w:rPr>
        <w:t>. Cela a été confirmé sans ambiguïté par les juridictions administratives qui estiment</w:t>
      </w:r>
      <w:r>
        <w:rPr>
          <w:spacing w:val="-1"/>
          <w:sz w:val="22"/>
        </w:rPr>
        <w:t> </w:t>
      </w:r>
      <w:r>
        <w:rPr>
          <w:sz w:val="22"/>
        </w:rPr>
        <w:t>d’une part, que le raccordement provisoire ne peut être refusé à toute personne en faisant la demande et que le caractère non-constructible d’un terrain ne peut constituer un motif de refus de ce type de raccordement </w:t>
      </w:r>
      <w:r>
        <w:rPr>
          <w:i/>
          <w:sz w:val="22"/>
        </w:rPr>
        <w:t>(CE 12 décembre 2003, Tino Cancy, N°257794)</w:t>
      </w:r>
      <w:r>
        <w:rPr>
          <w:i/>
          <w:spacing w:val="-2"/>
          <w:sz w:val="22"/>
        </w:rPr>
        <w:t> </w:t>
      </w:r>
      <w:r>
        <w:rPr>
          <w:i/>
          <w:sz w:val="22"/>
        </w:rPr>
        <w:t>;</w:t>
      </w:r>
      <w:r>
        <w:rPr>
          <w:i/>
          <w:spacing w:val="40"/>
          <w:sz w:val="22"/>
        </w:rPr>
        <w:t> </w:t>
      </w:r>
      <w:r>
        <w:rPr>
          <w:sz w:val="22"/>
        </w:rPr>
        <w:t>et, d’autre part, que le refus de raccordement provisoire au réseau électrique est illégal même si les caravanes ou les habitats mobiles sont installés irrégulièrement sur le terrain </w:t>
      </w:r>
      <w:r>
        <w:rPr>
          <w:i/>
          <w:sz w:val="22"/>
        </w:rPr>
        <w:t>(Avis CE en date du 7 juillet 2004, n°266478</w:t>
      </w:r>
      <w:r>
        <w:rPr>
          <w:i/>
          <w:spacing w:val="-1"/>
          <w:sz w:val="22"/>
        </w:rPr>
        <w:t> </w:t>
      </w:r>
      <w:r>
        <w:rPr>
          <w:i/>
          <w:sz w:val="22"/>
        </w:rPr>
        <w:t>; TA Versailles, 17 janvier 2006, 3</w:t>
      </w:r>
      <w:r>
        <w:rPr>
          <w:i/>
          <w:sz w:val="22"/>
          <w:vertAlign w:val="superscript"/>
        </w:rPr>
        <w:t>ème</w:t>
      </w:r>
      <w:r>
        <w:rPr>
          <w:i/>
          <w:sz w:val="22"/>
          <w:vertAlign w:val="baseline"/>
        </w:rPr>
        <w:t> chambre, N°0406187, Dassonneville contre Commune de Cerny).</w:t>
      </w:r>
    </w:p>
    <w:p>
      <w:pPr>
        <w:pStyle w:val="BodyText"/>
        <w:spacing w:before="1"/>
        <w:rPr>
          <w:i/>
        </w:rPr>
      </w:pPr>
    </w:p>
    <w:p>
      <w:pPr>
        <w:pStyle w:val="BodyText"/>
        <w:spacing w:line="242" w:lineRule="auto" w:before="1"/>
        <w:ind w:left="116" w:right="113"/>
        <w:jc w:val="both"/>
        <w:rPr>
          <w:b/>
        </w:rPr>
      </w:pPr>
      <w:r>
        <w:rPr/>
        <w:t>Dans ces conditions, rien ne s’oppose à ce que vous me proposiez dans les plus brefs délais la conclusion d’un contrat de branchement provisoire pour la période demandée </w:t>
      </w:r>
      <w:r>
        <w:rPr>
          <w:b/>
          <w:color w:val="FF0000"/>
        </w:rPr>
        <w:t>(spécifier de date à </w:t>
      </w:r>
      <w:r>
        <w:rPr>
          <w:b/>
          <w:color w:val="FF0000"/>
          <w:spacing w:val="-2"/>
        </w:rPr>
        <w:t>date).</w:t>
      </w:r>
    </w:p>
    <w:p>
      <w:pPr>
        <w:pStyle w:val="BodyText"/>
        <w:spacing w:before="2"/>
        <w:rPr>
          <w:b/>
          <w:sz w:val="21"/>
        </w:rPr>
      </w:pPr>
    </w:p>
    <w:p>
      <w:pPr>
        <w:pStyle w:val="BodyText"/>
        <w:spacing w:line="242" w:lineRule="auto"/>
        <w:ind w:left="116" w:right="113"/>
        <w:jc w:val="both"/>
      </w:pPr>
      <w:r>
        <w:rPr/>
        <w:t>Dans cette attente, je vous prie d’agréer, Madame, Monsieur, l’expression de ma considération </w:t>
      </w:r>
      <w:r>
        <w:rPr>
          <w:spacing w:val="-2"/>
        </w:rPr>
        <w:t>distinguée.</w:t>
      </w:r>
    </w:p>
    <w:p>
      <w:pPr>
        <w:pStyle w:val="BodyText"/>
        <w:spacing w:before="9"/>
        <w:rPr>
          <w:sz w:val="21"/>
        </w:rPr>
      </w:pPr>
    </w:p>
    <w:p>
      <w:pPr>
        <w:pStyle w:val="BodyText"/>
        <w:ind w:left="5781"/>
      </w:pPr>
      <w:r>
        <w:rPr>
          <w:spacing w:val="-2"/>
        </w:rPr>
        <w:t>xxxxxxxxxxxxxxxxxx</w:t>
      </w:r>
    </w:p>
    <w:sectPr>
      <w:type w:val="continuous"/>
      <w:pgSz w:w="11910" w:h="16840"/>
      <w:pgMar w:top="15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fr-FR" w:eastAsia="en-US" w:bidi="ar-SA"/>
    </w:rPr>
  </w:style>
  <w:style w:styleId="Title" w:type="paragraph">
    <w:name w:val="Title"/>
    <w:basedOn w:val="Normal"/>
    <w:uiPriority w:val="1"/>
    <w:qFormat/>
    <w:pPr>
      <w:spacing w:line="253" w:lineRule="exact"/>
      <w:ind w:left="5072"/>
    </w:pPr>
    <w:rPr>
      <w:rFonts w:ascii="Times New Roman" w:hAnsi="Times New Roman" w:eastAsia="Times New Roman" w:cs="Times New Roman"/>
      <w:b/>
      <w:bCs/>
      <w:sz w:val="22"/>
      <w:szCs w:val="22"/>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angvc</dc:creator>
  <dcterms:created xsi:type="dcterms:W3CDTF">2023-05-19T16:37:11Z</dcterms:created>
  <dcterms:modified xsi:type="dcterms:W3CDTF">2023-05-19T16:37:11Z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Microsoft® Word 2010</vt:lpwstr>
  </property>
  <property fmtid="{D5CDD505-2E9C-101B-9397-08002B2CF9AE}" pid="4" name="LastSaved">
    <vt:filetime>2023-05-19T00:00:00Z</vt:filetime>
  </property>
  <property fmtid="{D5CDD505-2E9C-101B-9397-08002B2CF9AE}" pid="5" name="Producer">
    <vt:lpwstr>Microsoft® Word 2010</vt:lpwstr>
  </property>
</Properties>
</file>